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5BB" w:rsidRDefault="00CB0195">
      <w:pPr>
        <w:rPr>
          <w:rFonts w:ascii="Arial" w:eastAsia="Arial" w:hAnsi="Arial" w:cs="Arial"/>
          <w:b/>
          <w:sz w:val="36"/>
          <w:szCs w:val="36"/>
        </w:rPr>
      </w:pPr>
      <w:r>
        <w:rPr>
          <w:rFonts w:ascii="Arial" w:eastAsia="Arial" w:hAnsi="Arial" w:cs="Arial"/>
          <w:b/>
          <w:sz w:val="36"/>
          <w:szCs w:val="36"/>
        </w:rPr>
        <w:t>Framework Schedule 3 (Framework Prices)</w:t>
      </w:r>
    </w:p>
    <w:p w:rsidR="00CD75BB" w:rsidRDefault="00CB0195">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CD75BB" w:rsidRDefault="00CB019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CD75BB" w:rsidRDefault="00CB0195">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CD75BB" w:rsidRDefault="00CB019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rsidR="00CD75BB" w:rsidRDefault="00CB019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CD75BB" w:rsidRDefault="00CB019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CD75BB" w:rsidRDefault="00CB019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Any variation to the Charges payable under a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must be agreed between the Supplier and the Buyer and implemented using the same procedure for altering Framework Prices in accordance with the provisions of this Framework Schedule 3</w:t>
      </w:r>
      <w:r>
        <w:rPr>
          <w:rFonts w:ascii="Arial" w:eastAsia="Arial" w:hAnsi="Arial" w:cs="Arial"/>
          <w:sz w:val="24"/>
          <w:szCs w:val="24"/>
        </w:rPr>
        <w:t>.</w:t>
      </w:r>
    </w:p>
    <w:p w:rsidR="00CD75BB" w:rsidRDefault="00CB019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CD75BB" w:rsidRDefault="00CB019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1 shall be available for use in calculation of Framework Prices in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Contracts.</w:t>
      </w:r>
    </w:p>
    <w:p w:rsidR="00CD75BB" w:rsidRDefault="00CB019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CD75BB" w:rsidRDefault="00CB019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b/>
          <w:sz w:val="24"/>
          <w:szCs w:val="24"/>
        </w:rPr>
        <w:t xml:space="preserve">two </w:t>
      </w:r>
      <w:r>
        <w:rPr>
          <w:rFonts w:ascii="Arial" w:eastAsia="Arial" w:hAnsi="Arial" w:cs="Arial"/>
          <w:color w:val="000000"/>
          <w:sz w:val="24"/>
          <w:szCs w:val="24"/>
        </w:rPr>
        <w:t>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CD75BB" w:rsidRDefault="00CB019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2et92p0" w:colFirst="0" w:colLast="0"/>
      <w:bookmarkEnd w:id="2"/>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Date.</w:t>
      </w:r>
    </w:p>
    <w:p w:rsidR="00CD75BB" w:rsidRDefault="00CB019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CD75BB" w:rsidRDefault="00CB019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CD75BB" w:rsidRDefault="00CB019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CD75BB" w:rsidRDefault="00CB019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rsidR="00CD75BB" w:rsidRDefault="00CB019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rsidR="00CD75BB" w:rsidRDefault="00CB019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rsidR="00CD75BB" w:rsidRDefault="00CB019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lastRenderedPageBreak/>
        <w:t>evidence that the Supplier has attempted to mitigate against the increase in the relevant cost components; and</w:t>
      </w:r>
    </w:p>
    <w:p w:rsidR="00CD75BB" w:rsidRDefault="00CB019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proofErr w:type="gramStart"/>
      <w:r>
        <w:rPr>
          <w:rFonts w:ascii="Arial" w:eastAsia="Arial" w:hAnsi="Arial" w:cs="Arial"/>
          <w:color w:val="000000"/>
          <w:sz w:val="24"/>
          <w:szCs w:val="24"/>
        </w:rPr>
        <w:t>evidence</w:t>
      </w:r>
      <w:proofErr w:type="gramEnd"/>
      <w:r>
        <w:rPr>
          <w:rFonts w:ascii="Arial" w:eastAsia="Arial" w:hAnsi="Arial" w:cs="Arial"/>
          <w:color w:val="000000"/>
          <w:sz w:val="24"/>
          <w:szCs w:val="24"/>
        </w:rPr>
        <w:t xml:space="preserve"> that the Supplier’s profit component of the relevant  Framework Price is no greater than that applying to Framework Prices using the same pricing mechanism as at the Contract Commencement Date.</w:t>
      </w:r>
    </w:p>
    <w:p w:rsidR="00CD75BB" w:rsidRDefault="00CB019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rsidR="00CD75BB" w:rsidRDefault="00CB019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CD75BB" w:rsidRDefault="00CB019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CD75BB" w:rsidRDefault="00CB019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CD75BB" w:rsidRDefault="00CB019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CD75BB" w:rsidRDefault="00CB019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CD75BB" w:rsidRDefault="00CB019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r>
        <w:rPr>
          <w:rFonts w:ascii="Arial" w:eastAsia="Arial" w:hAnsi="Arial" w:cs="Arial"/>
          <w:sz w:val="24"/>
          <w:szCs w:val="24"/>
        </w:rPr>
        <w:t>;and</w:t>
      </w:r>
    </w:p>
    <w:p w:rsidR="00CD75BB" w:rsidRDefault="00CB019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request from the Supplier, which it can make at any time, to decrease the Framework Prices</w:t>
      </w:r>
      <w:r>
        <w:rPr>
          <w:rFonts w:ascii="Arial" w:eastAsia="Arial" w:hAnsi="Arial" w:cs="Arial"/>
          <w:sz w:val="24"/>
          <w:szCs w:val="24"/>
        </w:rPr>
        <w:t>.</w:t>
      </w:r>
    </w:p>
    <w:p w:rsidR="00CD75BB" w:rsidRDefault="00CD75BB">
      <w:pPr>
        <w:pBdr>
          <w:top w:val="nil"/>
          <w:left w:val="nil"/>
          <w:bottom w:val="nil"/>
          <w:right w:val="nil"/>
          <w:between w:val="nil"/>
        </w:pBdr>
        <w:tabs>
          <w:tab w:val="left" w:pos="142"/>
        </w:tabs>
        <w:spacing w:before="120" w:after="240" w:line="240" w:lineRule="auto"/>
        <w:ind w:left="360"/>
        <w:jc w:val="both"/>
        <w:rPr>
          <w:rFonts w:ascii="Arial" w:eastAsia="Arial" w:hAnsi="Arial" w:cs="Arial"/>
          <w:color w:val="000000"/>
          <w:sz w:val="24"/>
          <w:szCs w:val="24"/>
        </w:rPr>
      </w:pPr>
    </w:p>
    <w:p w:rsidR="00CD75BB" w:rsidRDefault="00CD75BB">
      <w:pPr>
        <w:pBdr>
          <w:top w:val="nil"/>
          <w:left w:val="nil"/>
          <w:bottom w:val="nil"/>
          <w:right w:val="nil"/>
          <w:between w:val="nil"/>
        </w:pBdr>
        <w:tabs>
          <w:tab w:val="left" w:pos="142"/>
        </w:tabs>
        <w:spacing w:before="120" w:after="240" w:line="240" w:lineRule="auto"/>
        <w:jc w:val="both"/>
        <w:rPr>
          <w:rFonts w:ascii="Arial" w:eastAsia="Arial" w:hAnsi="Arial" w:cs="Arial"/>
          <w:color w:val="000000"/>
          <w:sz w:val="24"/>
          <w:szCs w:val="24"/>
          <w:highlight w:val="yellow"/>
        </w:rPr>
      </w:pPr>
    </w:p>
    <w:p w:rsidR="00CD75BB" w:rsidRDefault="00CD75BB">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rsidR="00CD75BB" w:rsidRDefault="00CD75BB">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CD75BB" w:rsidRDefault="00CB0195">
      <w:pPr>
        <w:rPr>
          <w:rFonts w:ascii="Arial" w:eastAsia="Arial" w:hAnsi="Arial" w:cs="Arial"/>
          <w:b/>
          <w:sz w:val="36"/>
          <w:szCs w:val="36"/>
        </w:rPr>
      </w:pPr>
      <w:bookmarkStart w:id="3" w:name="_heading=h.1t3h5sf" w:colFirst="0" w:colLast="0"/>
      <w:bookmarkEnd w:id="3"/>
      <w:r>
        <w:br w:type="page"/>
      </w:r>
      <w:r>
        <w:rPr>
          <w:rFonts w:ascii="Arial" w:eastAsia="Arial" w:hAnsi="Arial" w:cs="Arial"/>
          <w:b/>
          <w:sz w:val="36"/>
          <w:szCs w:val="36"/>
        </w:rPr>
        <w:lastRenderedPageBreak/>
        <w:t>Annex 1: Rates and Prices</w:t>
      </w:r>
    </w:p>
    <w:p w:rsidR="002F1C8D" w:rsidRDefault="002F1C8D" w:rsidP="002F1C8D">
      <w:pPr>
        <w:rPr>
          <w:rFonts w:ascii="Arial" w:eastAsia="Arial" w:hAnsi="Arial" w:cs="Arial"/>
          <w:b/>
          <w:sz w:val="24"/>
          <w:szCs w:val="24"/>
        </w:rPr>
      </w:pPr>
      <w:r>
        <w:rPr>
          <w:rFonts w:ascii="Arial" w:hAnsi="Arial" w:cs="Arial"/>
          <w:b/>
          <w:bCs/>
          <w:color w:val="000000"/>
        </w:rPr>
        <w:t>Redacted under FOIA section 43, Commercial Interests</w:t>
      </w:r>
    </w:p>
    <w:p w:rsidR="002F1C8D" w:rsidRDefault="002F1C8D">
      <w:pPr>
        <w:rPr>
          <w:rFonts w:ascii="Arial" w:eastAsia="Arial" w:hAnsi="Arial" w:cs="Arial"/>
          <w:b/>
          <w:sz w:val="36"/>
          <w:szCs w:val="36"/>
        </w:rPr>
      </w:pPr>
      <w:bookmarkStart w:id="4" w:name="_GoBack"/>
      <w:bookmarkEnd w:id="4"/>
    </w:p>
    <w:sectPr w:rsidR="002F1C8D">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554" w:rsidRDefault="00BE2554">
      <w:pPr>
        <w:spacing w:after="0" w:line="240" w:lineRule="auto"/>
      </w:pPr>
      <w:r>
        <w:separator/>
      </w:r>
    </w:p>
  </w:endnote>
  <w:endnote w:type="continuationSeparator" w:id="0">
    <w:p w:rsidR="00BE2554" w:rsidRDefault="00BE25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5BB" w:rsidRDefault="00CB019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RM6832</w:t>
    </w:r>
    <w:r>
      <w:rPr>
        <w:rFonts w:ascii="Arial" w:eastAsia="Arial" w:hAnsi="Arial" w:cs="Arial"/>
        <w:sz w:val="20"/>
        <w:szCs w:val="20"/>
      </w:rPr>
      <w:tab/>
      <w:t xml:space="preserve">                                           </w:t>
    </w:r>
  </w:p>
  <w:p w:rsidR="00CD75BB" w:rsidRDefault="00CB01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F1C8D">
      <w:rPr>
        <w:rFonts w:ascii="Arial" w:eastAsia="Arial" w:hAnsi="Arial" w:cs="Arial"/>
        <w:noProof/>
        <w:color w:val="000000"/>
        <w:sz w:val="20"/>
        <w:szCs w:val="20"/>
      </w:rPr>
      <w:t>3</w:t>
    </w:r>
    <w:r>
      <w:rPr>
        <w:rFonts w:ascii="Arial" w:eastAsia="Arial" w:hAnsi="Arial" w:cs="Arial"/>
        <w:color w:val="000000"/>
        <w:sz w:val="20"/>
        <w:szCs w:val="20"/>
      </w:rPr>
      <w:fldChar w:fldCharType="end"/>
    </w:r>
  </w:p>
  <w:p w:rsidR="00CD75BB" w:rsidRDefault="00CB0195">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5BB" w:rsidRDefault="00CB0195">
    <w:pPr>
      <w:tabs>
        <w:tab w:val="center" w:pos="4513"/>
        <w:tab w:val="right" w:pos="9026"/>
      </w:tabs>
      <w:spacing w:after="0"/>
    </w:pPr>
    <w:r>
      <w:t>Framework Ref: RM</w:t>
    </w:r>
    <w:r>
      <w:tab/>
      <w:t xml:space="preserve">                                           </w:t>
    </w:r>
  </w:p>
  <w:p w:rsidR="00CD75BB" w:rsidRDefault="00CB01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CD75BB" w:rsidRDefault="00CB0195">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554" w:rsidRDefault="00BE2554">
      <w:pPr>
        <w:spacing w:after="0" w:line="240" w:lineRule="auto"/>
      </w:pPr>
      <w:r>
        <w:separator/>
      </w:r>
    </w:p>
  </w:footnote>
  <w:footnote w:type="continuationSeparator" w:id="0">
    <w:p w:rsidR="00BE2554" w:rsidRDefault="00BE25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5BB" w:rsidRDefault="00CB019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CD75BB" w:rsidRDefault="00CB01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5BB" w:rsidRDefault="00CB019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CD75BB" w:rsidRDefault="00CB019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3E10E7"/>
    <w:multiLevelType w:val="multilevel"/>
    <w:tmpl w:val="51689D78"/>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8150A43"/>
    <w:multiLevelType w:val="multilevel"/>
    <w:tmpl w:val="9F225D4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5BB"/>
    <w:rsid w:val="002F1C8D"/>
    <w:rsid w:val="00AC3139"/>
    <w:rsid w:val="00BE2554"/>
    <w:rsid w:val="00CB0195"/>
    <w:rsid w:val="00CD75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A8F61"/>
  <w15:docId w15:val="{9BF165F0-FA1E-4A64-B641-26D47B54B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21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OTz9tj5+sO57TkMtvPA51BucGQ==">AMUW2mVfASn6nJcPFU5CY8GDwCsOM2cv0VjGAGp9sw6hlFDLZnoZPlxGCPVd43nlnY+Is07Ctebudk4CUbR+4zWuER0JuZXiMrmp3GQKGoxrcNH66ddTDsEvj+9oxL+yrqifRdZegTnygXosXi54y/OV6660KvD2FwvALIK3nRIkZ7Q9tTEAiDU=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481</Words>
  <Characters>2745</Characters>
  <Application>Microsoft Office Word</Application>
  <DocSecurity>0</DocSecurity>
  <Lines>22</Lines>
  <Paragraphs>6</Paragraphs>
  <ScaleCrop>false</ScaleCrop>
  <Company>Cabinet Office</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Lesley Farrell</cp:lastModifiedBy>
  <cp:revision>3</cp:revision>
  <dcterms:created xsi:type="dcterms:W3CDTF">2018-06-14T15:09:00Z</dcterms:created>
  <dcterms:modified xsi:type="dcterms:W3CDTF">2022-07-20T11:14:00Z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